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8DD62" w14:textId="77777777" w:rsidR="00CA6093" w:rsidRPr="00CA6093" w:rsidRDefault="00CA6093" w:rsidP="00CA6093">
      <w:pPr>
        <w:autoSpaceDE w:val="0"/>
        <w:autoSpaceDN w:val="0"/>
        <w:adjustRightInd w:val="0"/>
        <w:spacing w:after="0" w:line="240" w:lineRule="auto"/>
        <w:rPr>
          <w:rFonts w:eastAsia="Calibri"/>
          <w:color w:val="000000"/>
          <w:szCs w:val="22"/>
          <w:lang w:eastAsia="en-US"/>
        </w:rPr>
      </w:pPr>
      <w:bookmarkStart w:id="0" w:name="bDelges"/>
      <w:bookmarkEnd w:id="0"/>
    </w:p>
    <w:p w14:paraId="4C71E001" w14:textId="77777777" w:rsidR="00CA6093" w:rsidRDefault="00CA6093" w:rsidP="00CA6093">
      <w:pPr>
        <w:autoSpaceDE w:val="0"/>
        <w:autoSpaceDN w:val="0"/>
        <w:adjustRightInd w:val="0"/>
        <w:spacing w:before="100" w:after="100" w:line="240" w:lineRule="auto"/>
        <w:rPr>
          <w:rFonts w:eastAsia="Calibri"/>
          <w:b/>
          <w:bCs/>
          <w:color w:val="000000"/>
          <w:szCs w:val="22"/>
          <w:lang w:eastAsia="en-US"/>
        </w:rPr>
      </w:pPr>
      <w:r w:rsidRPr="00CA6093">
        <w:rPr>
          <w:rFonts w:eastAsia="Calibri"/>
          <w:szCs w:val="22"/>
          <w:lang w:eastAsia="en-US"/>
        </w:rPr>
        <w:t xml:space="preserve"> </w:t>
      </w:r>
      <w:r w:rsidRPr="00CA6093">
        <w:rPr>
          <w:rFonts w:eastAsia="Calibri"/>
          <w:b/>
          <w:bCs/>
          <w:color w:val="000000"/>
          <w:szCs w:val="22"/>
          <w:lang w:eastAsia="en-US"/>
        </w:rPr>
        <w:t xml:space="preserve">Uppdragsverksamhet – allmänna bestämmelser </w:t>
      </w:r>
    </w:p>
    <w:p w14:paraId="39F2CDA6" w14:textId="32C83B03" w:rsidR="00EC2F9E" w:rsidRPr="00CA6093" w:rsidRDefault="00EC2F9E" w:rsidP="00CA6093">
      <w:pPr>
        <w:autoSpaceDE w:val="0"/>
        <w:autoSpaceDN w:val="0"/>
        <w:adjustRightInd w:val="0"/>
        <w:spacing w:before="100" w:after="100" w:line="240" w:lineRule="auto"/>
        <w:rPr>
          <w:rFonts w:eastAsia="Calibri"/>
          <w:color w:val="000000"/>
          <w:szCs w:val="22"/>
          <w:lang w:eastAsia="en-US"/>
        </w:rPr>
      </w:pPr>
      <w:r>
        <w:rPr>
          <w:rFonts w:eastAsia="Calibri"/>
          <w:b/>
          <w:bCs/>
          <w:color w:val="000000"/>
          <w:szCs w:val="22"/>
          <w:lang w:eastAsia="en-US"/>
        </w:rPr>
        <w:t>Bilaga B</w:t>
      </w:r>
      <w:bookmarkStart w:id="1" w:name="_GoBack"/>
      <w:bookmarkEnd w:id="1"/>
    </w:p>
    <w:p w14:paraId="47AB5351"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1. Projektledare och kontaktperson </w:t>
      </w:r>
    </w:p>
    <w:p w14:paraId="12A812CF"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1.1 Projektledaren vid universitetet är behörig att ta emot alla meddelanden och fatta beslut i löpande frågor som avser uppdraget. </w:t>
      </w:r>
    </w:p>
    <w:p w14:paraId="54E65482"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1.2 Uppdragsgivaren ska namnge en kontaktperson som är behörig att ta emot alla meddelanden och fatta beslut i löpande frågor som avser uppdraget. </w:t>
      </w:r>
    </w:p>
    <w:p w14:paraId="2344D9BE"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2. Underkonsult </w:t>
      </w:r>
    </w:p>
    <w:p w14:paraId="236211B0"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Universitetet äger rätt att använda en underkonsult för utförande av uppdraget eller en del av uppdraget när detta inte medför risk för att uppdragsgivarens konfidentiella information kommer till tredje mans kännedom. I annat fall erfordras uppdragsgivarens godkännande. Anlitande av underkonsult inskränker inte universitetets ansvar mot uppdragsgivaren. </w:t>
      </w:r>
    </w:p>
    <w:p w14:paraId="044D413E"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3. Sidokonsult </w:t>
      </w:r>
    </w:p>
    <w:p w14:paraId="22CC92C2"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Om uppdragsgivaren önskar anlita en sidokonsult, som projektledaren kan komma att samarbeta med, ska projektledaren beredas tillfälle att yttra sig i fråga om valet av sådan. </w:t>
      </w:r>
    </w:p>
    <w:p w14:paraId="1D26EEE6"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4. Information, rapportering, granskning </w:t>
      </w:r>
    </w:p>
    <w:p w14:paraId="79A7BFE6"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4.1 Uppdragsgivaren ska vid avtalets ikraftträdande eller vid senare tidpunkt lämna universitetet tillgång till lokaler, information, handlingar och material som erfordras för uppdragets genomförande enligt tidsplan. </w:t>
      </w:r>
    </w:p>
    <w:p w14:paraId="3379CC4C"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4.2 Universitetet ska under uppdragets genomförande hålla uppdragsgivaren kontinuerligt informerad om alla händelser av betydelse för uppdraget och låta uppdragsgivaren ha full insyn i arbetets fortskridande. Skriftlig rapport lämnas normalt i ett exemplar. Universitetet har rätt att behålla kopia av rapporterna. </w:t>
      </w:r>
    </w:p>
    <w:p w14:paraId="629F4F1B"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5. Tider, förhinder </w:t>
      </w:r>
    </w:p>
    <w:p w14:paraId="14AAB44D"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5.1 Uppdraget ska utföras enligt tidsplan i avtalet. Projektledaren ska skriftligen utan dröjsmål meddela uppdragsgivaren uppkomna förhinder för uppdragets genomförande. </w:t>
      </w:r>
    </w:p>
    <w:p w14:paraId="73D39A41"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5.2 Uppstår försening är uppdragsgivaren berättigad till ersättning endast under förutsättning att detta är särskilt avtalat. </w:t>
      </w:r>
    </w:p>
    <w:p w14:paraId="17D196DE"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6. Ordnings- och säkerhetsföreskrifter </w:t>
      </w:r>
    </w:p>
    <w:p w14:paraId="5E9581A9"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Personal anlitad av universitetet ska vid arbete eller besök i uppdragsgivarens lokaler för uppdragets fullgörande följa där gällande skydds- och andra föreskrifter. </w:t>
      </w:r>
    </w:p>
    <w:p w14:paraId="289C2762"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7. Apparatur och utrustning </w:t>
      </w:r>
    </w:p>
    <w:p w14:paraId="099F9F2A"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7.1 Apparatur eller annan utrustning som tillhör uppdragsgivaren men är uppställd i universitetets lokaler förvaras där på uppdragsgivarens risk. Uppdragsgivaren förpliktar sig att på universitetets begäran omedelbart återta sådan utrustning. </w:t>
      </w:r>
    </w:p>
    <w:p w14:paraId="4BA9C973"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7.2 Uppdragsgivaren ansvarar för utrustning som tillhör universitetet och som placerats hos uppdragsgivaren. </w:t>
      </w:r>
    </w:p>
    <w:p w14:paraId="4BA22DA6"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8. Ersättning </w:t>
      </w:r>
    </w:p>
    <w:p w14:paraId="27BE1039"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8.1 Ersättning för uppdraget regleras i avtalet. </w:t>
      </w:r>
    </w:p>
    <w:p w14:paraId="41812928" w14:textId="77777777" w:rsidR="00CA6093" w:rsidRPr="00CA6093" w:rsidRDefault="00CA6093" w:rsidP="00CA6093">
      <w:pPr>
        <w:pageBreakBefore/>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lastRenderedPageBreak/>
        <w:t xml:space="preserve">8.2 Om den överenskomna ersättningen är ett takpris ska universitetet, i det fall takpriset kan komma att överskridas, anmäla till uppdragsgivaren när 75% av takpriset uppnåtts för att överenskommelse om höjning av takpriset eller om begränsning av uppdraget ska kunna träffas. </w:t>
      </w:r>
    </w:p>
    <w:p w14:paraId="1314C431"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8.3 Universitetet äger rätt att indexreglera ersättningen för att kompensera universitetet för avtalsenliga löneuppräkningar, ökade materialpriser, sociala avgifter och övriga kostnadsökningar om detta särskilt anges i avtalet. </w:t>
      </w:r>
    </w:p>
    <w:p w14:paraId="1EB74B6B"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8.4 Rese- och traktamentskostnader samt kostnader för representation ingår i överenskommen ersättning, om inte annat anges i avtalet. </w:t>
      </w:r>
    </w:p>
    <w:p w14:paraId="78D50383"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9. Skatter </w:t>
      </w:r>
    </w:p>
    <w:p w14:paraId="1EF4A8E9"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Om mervärdeskattskyldighet föreligger ska mervärdeskatten debiteras uppdragsgivaren särskilt och inte ingå i överenskommen ersättning. </w:t>
      </w:r>
    </w:p>
    <w:p w14:paraId="2B00B0E9"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10. Betalning </w:t>
      </w:r>
    </w:p>
    <w:p w14:paraId="548FB24F"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10.1 Betalning sker mot faktura. Av fakturan ska framgå arten och omfattningen av det arbete som utförts under den tidsperiod ersättningen avser. Av fakturan ska också framgå om den avser del- eller slutbetalning. </w:t>
      </w:r>
    </w:p>
    <w:p w14:paraId="27B86E79"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10.2 Betalning ska ske inom 30 dagar från fakturadatum. Vid försenad betalning har universitetet rätt att debitera dröjsmålsränta enligt räntelagen. </w:t>
      </w:r>
    </w:p>
    <w:p w14:paraId="6972CF67"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11. Ägande- och nyttjanderätt till resultat </w:t>
      </w:r>
    </w:p>
    <w:p w14:paraId="748B8C24"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11.1 Immateriella rättigheter </w:t>
      </w:r>
    </w:p>
    <w:p w14:paraId="288C263C"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I de fall resultatet av uppdraget är skyddat av upphovsrättslagen, mönsterskyddslagen eller annan dylik lagstiftning tillfaller resultatet upphovsmannen vid universitetet. Uppdragsgivaren har rätt att för uppdragets avtalade syfte nyttja resultatet av uppdraget. För det fall att nyttjande skulle ske därutöver ska upphovsmannen lämna sitt medgivande och även vara berättigad till ersättning därför. </w:t>
      </w:r>
    </w:p>
    <w:p w14:paraId="23A38784"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11.2. Uppfinning </w:t>
      </w:r>
    </w:p>
    <w:p w14:paraId="5392A3E0"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Med uppfinning avses i detta avtal en uppfinning som är patenterbar. Skulle uppdraget resultera i en uppfinning som är gjord av universitetets personal och som är ett direkt resultat av uppdraget eller som direkt bygger på upplysningar som uppdragsgivaren lämnat i samband med uppdraget, förbinder sig universitetet att, genom projektledaren, ofördröjligen underrätta uppdragsgivaren. På begäran av uppdragsgivaren ska universitetet se till att rätten till uppfinningen övergår till uppdragsgivaren. Sådan begäran ska göras inom tre (3) månader efter det att uppdragsgivaren underrättats oavsett om patentansökan är inlämnad eller ej. Har uppdragsgivaren inte svarat inom föreskriven tid faller hans rätt att överta uppfinningen. </w:t>
      </w:r>
    </w:p>
    <w:p w14:paraId="3BA5A8CF"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Om uppdragsgivaren övertar rätten till uppfinningen enligt ovan ska uppdragsgivaren ersätta uppfinnaren. Ersättningen ska beräknas på samma sätt som om denne varit arbetstagare hos uppdragsgivaren. Kostnaderna i samband med ansökan om och erhållande av patent bestrids av uppdragsgivaren. </w:t>
      </w:r>
    </w:p>
    <w:p w14:paraId="5D49DE45"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Om uppdragsgivaren övertar rätten till uppfinningen äger universitetet rätten att, utan ersättning, nyttja uppfinningen för undervisnings- och forskningsändamål. </w:t>
      </w:r>
    </w:p>
    <w:p w14:paraId="75E0EB6F"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11.3 Övriga resultat </w:t>
      </w:r>
    </w:p>
    <w:p w14:paraId="50B4F084"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Universitetet har rätt att fritt använda generella tekniker, system och metoder som utvecklats eller utnyttjats inom uppdraget för undervisnings- och/eller forskningsändamål. Sådant användande ska ske anonymt, dvs uppdragsgivarens namn får inte användas och innehållet i arbetsresultatet måste förändras, så att det inte går att utläsa vem som varit uppdragsgivare. </w:t>
      </w:r>
    </w:p>
    <w:p w14:paraId="487BE712" w14:textId="77777777" w:rsidR="00CA6093" w:rsidRPr="00CA6093" w:rsidRDefault="00CA6093" w:rsidP="00CA6093">
      <w:pPr>
        <w:pageBreakBefore/>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lastRenderedPageBreak/>
        <w:t xml:space="preserve">11.4 Prover m.m. </w:t>
      </w:r>
    </w:p>
    <w:p w14:paraId="545C85B0"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Alla övriga resultat i form av produkter, prover eller fysiska föremål i övrigt, som svarar mot det i avtalet konkret formulerade uppdraget är uppdragsgivarens egendom. </w:t>
      </w:r>
    </w:p>
    <w:p w14:paraId="7C819D35"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12. Sekretess </w:t>
      </w:r>
    </w:p>
    <w:p w14:paraId="1378E627"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12.1 Universitetet förbinder sig att inte utan skriftligt tillstånd från uppdragsgivaren till tredje man lämna sådan information om uppdragsgivarens affärs- och konkurrensförhållanden, system och projekt, som det får ta del av för fullgörande av uppdraget under detta avtal eller som framkommer som resultat av uppdraget. </w:t>
      </w:r>
    </w:p>
    <w:p w14:paraId="20222F3A"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12.2 Sekretesskyddet gäller inte för sådan information som är eller blir allmänt känd eller som projektledaren och hans medarbetare kan visa var i dessas besittning vid tidpunkten för avtalets tecknande eller som de behörigen fått kännedom om oberoende av uppdragsgivaren eller som efter tidpunkten för avtalets tecknande bevisligen tagits fram hos universitetet på egen hand oberoende av information som delgivits denne under detta avtal. Parterna är införstådda med att offentlighetsprincipen gäller för universitetet. Därför gäller sekretesskyddet inte heller för sådan information som universitetet är skyldig att lämna ut på grund av lag eller motsvarande bestämmelse. </w:t>
      </w:r>
    </w:p>
    <w:p w14:paraId="5A7A7B5E"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12.3 Ovanstående sekretessbestämmelser gäller i tre (3) år efter det uppdraget fullgjorts (datum för slutrapport), dock aldrig längre än 10 år efter att informationen mottagits. </w:t>
      </w:r>
    </w:p>
    <w:p w14:paraId="27DBA0F0"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13. Publicering </w:t>
      </w:r>
    </w:p>
    <w:p w14:paraId="2FB9DE39"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13.1 Projektledaren och dennes medarbetare ska i enlighet med sedvanlig akademisk praxis äga rätt att efter godkännande enligt 13.2 publicera resultaten av uppdraget i enlighet med universitetets vedertagna normer för publicering av forskningsresultat. </w:t>
      </w:r>
    </w:p>
    <w:p w14:paraId="088EEBAE"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13.2 Innan resultaten från uppdraget lämnas för publicering eller på annat sätt görs offentliga, ska uppdragsgivaren beredas möjlighet att under högst 30 dagar granska utkastet till publikation. Uppdragsgivaren har därvid rätt att skriftligen kräva att publiceringen eller annat offentliggörande senareläggs för att möjliggöra sökande av patent eller annat motsvarande immateriellt skydd. Begärs sådan senareläggning ska informationen inte publiceras eller på annat sätt offentliggöras inom en tid av 60 dagar från begäran. </w:t>
      </w:r>
    </w:p>
    <w:p w14:paraId="6DF423D0"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13.3 För uppdragsgivarens publicering gäller att manuskript till publikationer, broschyrer eller annan form av publicering där uppdragsgivaren hänvisar till universitetets medverkan i uppdraget, ska förhandsgodkännas av projektledaren. Svar ska lämnas senast inom 30 dagar efter erhållet manuskript. </w:t>
      </w:r>
    </w:p>
    <w:p w14:paraId="4A0EC5D8"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14. Begränsning av skadeståndsansvar </w:t>
      </w:r>
    </w:p>
    <w:p w14:paraId="33C8BCDF"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14.1 Universitetet påtar sig ansvaret för att uppdraget blir utfört så samvetsgrant som möjligt. Varken universitetet eller projektledaren påtar sig ekonomiskt ansvar gentemot uppdragsgivaren om arbetet inte skulle leda till förväntat resultat. </w:t>
      </w:r>
    </w:p>
    <w:p w14:paraId="370282D7"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14.2 Universitetet är inte ersättningsskyldig för produktionsbortfall, utebliven vinst eller annan indirekt skada, om inte universitetet uppsåtligen eller av grov vårdslöshet brustit i sin skyldighet enligt detta avtal. Universitetet är emellertid inte i något fall, varken för direkt eller indirekt skada, ersättningsskyldig till ett högre belopp än den för uppdraget avtalade ersättningen, dock aldrig mer än högsta belopp som kan erhållas genom universitetets ansvarsförsäkring (inkluderat självriskbelopp). </w:t>
      </w:r>
    </w:p>
    <w:p w14:paraId="7662450C"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14.3 Universitetet påtar sig inget ansvar för skada på uppdragsgivarens personal under utförande av uppdraget. </w:t>
      </w:r>
    </w:p>
    <w:p w14:paraId="32FFE07C"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14.4 Om ej annat överenskommits mellan parterna, svarar universitetet för sakskada till högst ett belopp motsvarande den ersättning som avtalats för uppdraget, dock aldrig mer än högsta belopp som kan erhållas genom universitetets ansvarsförsäkring (inkluderat självriskbelopp). </w:t>
      </w:r>
    </w:p>
    <w:p w14:paraId="1D53C9F1" w14:textId="77777777" w:rsidR="00CA6093" w:rsidRPr="00CA6093" w:rsidRDefault="00CA6093" w:rsidP="00CA6093">
      <w:pPr>
        <w:pageBreakBefore/>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lastRenderedPageBreak/>
        <w:t xml:space="preserve">14.5 Om uppdragsgivaren vill framställa skadeståndsanspråk mot universitetet ska denne skriftligen underrätta universitetet om detta utan oskäligt dröjsmål från det att uppdragsgivaren fick kännedom om skadan. Skadeståndsrätten är förfallen om anspråket inte framställts inom sex (6) månader från det skadan blivit känd för uppdragsgivaren. </w:t>
      </w:r>
    </w:p>
    <w:p w14:paraId="3276F4AC"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14.6 Uppdragsgivaren ska hålla universitetet och projektledaren skadelös för varje skadeståndsanspråk som framställes av tredje man avseende personskada, skada å sak samt varje annan skada. </w:t>
      </w:r>
    </w:p>
    <w:p w14:paraId="18954753"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15. Force majeure </w:t>
      </w:r>
    </w:p>
    <w:p w14:paraId="31DDF0A7"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Varken uppdragsgivaren eller universitetet har någon ersättningsskyldighet mot den andra parten om denna hindras att utföra sina åtaganden i rätt tid på grund av förhållanden som han inte kunnat förutse och vars menliga inverkan han inte rimligen kunnat undanröja. </w:t>
      </w:r>
    </w:p>
    <w:p w14:paraId="2A6604AC"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16. Uppsägning, hävande eller begränsning av avtal </w:t>
      </w:r>
    </w:p>
    <w:p w14:paraId="26CDF155"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16.1 Vardera parten har rätt att häva avtalet om den andra parten gjort sig skyldig till väsentligt avtalsbrott och inte avhjälpt detta inom en månad efter mottagandet av meddelande om att den första parten annars avser att häva avtalet. </w:t>
      </w:r>
    </w:p>
    <w:p w14:paraId="45B02238"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16.2 Universitetet äger rätt att säga upp avtalet med en (1) månads varsel om uppdraget slutförande omöjliggörs på grund av att till projektet knuten personal slutat sin anställning vid universitetet och ny personal med lämpliga kvalifikationer och tillräcklig kompetens ej går att anställa med rimliga ansträngningar samt om unik utrustning, t ex datorer, havererat och ej går att reparera inom rimlig tid. </w:t>
      </w:r>
    </w:p>
    <w:p w14:paraId="111D9E1B"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16.3 Vid uppdragsgivarens hävande av avtalet enligt 16.1 och universitetets uppsägning av avtalet enligt 16.2 gäller att universitetet äger uppbära full ersättning intill uppdragets avbrytande medan uppdragsgivaren befrias från att erlägga ersättning för den icke fullgjorda delen av uppdraget. Vid universitetets hävande av avtalet enligt 16.1 äger universitetet uppbära hela den enligt avtalet överenskomna ersättningen. </w:t>
      </w:r>
    </w:p>
    <w:p w14:paraId="38472A88"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16.4 Uppdragsgivaren har rätt att begränsa uppdraget om överenskommet takpris enligt punkt 8.2 uppnåtts. </w:t>
      </w:r>
    </w:p>
    <w:p w14:paraId="1D376A24"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17. Arkiv </w:t>
      </w:r>
    </w:p>
    <w:p w14:paraId="71EFAC89"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Universitetet ansvarar för att arkivbildningen sker i enlighet med gällande lagstiftning. Efter avtalsperiodens slut avlämnas handlingarna till universitetsarkivet med i förekommande fall angivande av tillämplig sekretess. </w:t>
      </w:r>
    </w:p>
    <w:p w14:paraId="12BAEC39"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18. Anställds medverkan i uppdragsverksamhet </w:t>
      </w:r>
    </w:p>
    <w:p w14:paraId="28050221"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Universitetet förbinder sig att av universitetsanställd lärare och annan personal, som deltar i uppdragsarbetet, kräva ett skriftligt åtagande att ställa sig till efterrättelse av ovan angivna bestämmelser. Sådant åtagande ska innefatta godkännande av sådan överlåtelse mot särskild ersättning som avses i 11.2. </w:t>
      </w:r>
    </w:p>
    <w:p w14:paraId="632F6109"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19. Ändring av avtal </w:t>
      </w:r>
    </w:p>
    <w:p w14:paraId="2BAA8730"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Ändring av avtal ska för att vara gällande ske genom skriftlig överenskommelse mellan parterna. Begär endera parten ändring av avtalet ska den andra parten lämna svar inom 15 dagar. </w:t>
      </w:r>
    </w:p>
    <w:p w14:paraId="48110C03"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20. Tillämplig lag </w:t>
      </w:r>
    </w:p>
    <w:p w14:paraId="5106A52F"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color w:val="000000"/>
          <w:szCs w:val="22"/>
          <w:lang w:eastAsia="en-US"/>
        </w:rPr>
        <w:t xml:space="preserve">Svensk lag ska tillämpas på detta avtal. </w:t>
      </w:r>
    </w:p>
    <w:p w14:paraId="06FBCA9A" w14:textId="77777777" w:rsidR="00CA6093" w:rsidRPr="00CA6093" w:rsidRDefault="00CA6093" w:rsidP="00CA6093">
      <w:pPr>
        <w:autoSpaceDE w:val="0"/>
        <w:autoSpaceDN w:val="0"/>
        <w:adjustRightInd w:val="0"/>
        <w:spacing w:before="100" w:after="100" w:line="240" w:lineRule="auto"/>
        <w:rPr>
          <w:rFonts w:eastAsia="Calibri"/>
          <w:color w:val="000000"/>
          <w:szCs w:val="22"/>
          <w:lang w:eastAsia="en-US"/>
        </w:rPr>
      </w:pPr>
      <w:r w:rsidRPr="00CA6093">
        <w:rPr>
          <w:rFonts w:eastAsia="Calibri"/>
          <w:b/>
          <w:bCs/>
          <w:color w:val="000000"/>
          <w:szCs w:val="22"/>
          <w:lang w:eastAsia="en-US"/>
        </w:rPr>
        <w:t xml:space="preserve">21. Tvist </w:t>
      </w:r>
    </w:p>
    <w:p w14:paraId="04983736" w14:textId="77777777" w:rsidR="00CA6093" w:rsidRPr="00CA6093" w:rsidRDefault="00CA6093" w:rsidP="00CA6093">
      <w:pPr>
        <w:spacing w:after="200" w:line="276" w:lineRule="auto"/>
        <w:rPr>
          <w:rFonts w:eastAsia="Calibri"/>
          <w:szCs w:val="22"/>
          <w:lang w:eastAsia="en-US"/>
        </w:rPr>
      </w:pPr>
      <w:r w:rsidRPr="00CA6093">
        <w:rPr>
          <w:rFonts w:eastAsia="Calibri"/>
          <w:szCs w:val="22"/>
          <w:lang w:eastAsia="en-US"/>
        </w:rPr>
        <w:t>Tvist med anledning av avtalet ska avgöras av allmän domstol.</w:t>
      </w:r>
    </w:p>
    <w:p w14:paraId="2FC4FFE8" w14:textId="12BC51C0" w:rsidR="00011FBA" w:rsidRPr="00CA6093" w:rsidRDefault="00011FBA" w:rsidP="00CA6093">
      <w:pPr>
        <w:suppressAutoHyphens/>
        <w:spacing w:after="0" w:line="240" w:lineRule="auto"/>
        <w:rPr>
          <w:sz w:val="24"/>
        </w:rPr>
      </w:pPr>
    </w:p>
    <w:sectPr w:rsidR="00011FBA" w:rsidRPr="00CA6093" w:rsidSect="00CA6093">
      <w:headerReference w:type="default" r:id="rId9"/>
      <w:headerReference w:type="first" r:id="rId10"/>
      <w:footerReference w:type="first" r:id="rId11"/>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64198" w15:done="0"/>
  <w15:commentEx w15:paraId="3C4CB83B" w15:done="0"/>
  <w15:commentEx w15:paraId="6B61F5FC" w15:done="0"/>
  <w15:commentEx w15:paraId="2826A37C" w15:done="0"/>
  <w15:commentEx w15:paraId="6D5A84EA" w15:done="0"/>
  <w15:commentEx w15:paraId="44AA00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B9296" w14:textId="77777777" w:rsidR="00093EAB" w:rsidRDefault="00093EAB">
      <w:r>
        <w:separator/>
      </w:r>
    </w:p>
    <w:p w14:paraId="39E3477B" w14:textId="77777777" w:rsidR="00093EAB" w:rsidRDefault="00093EAB"/>
  </w:endnote>
  <w:endnote w:type="continuationSeparator" w:id="0">
    <w:p w14:paraId="4E85416C" w14:textId="77777777" w:rsidR="00093EAB" w:rsidRDefault="00093EAB">
      <w:r>
        <w:continuationSeparator/>
      </w:r>
    </w:p>
    <w:p w14:paraId="692BB9A1" w14:textId="77777777" w:rsidR="00093EAB" w:rsidRDefault="00093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A95B4" w14:textId="77777777" w:rsidR="003B55D2" w:rsidRDefault="003B55D2">
    <w:pPr>
      <w:pStyle w:val="Footer"/>
      <w:tabs>
        <w:tab w:val="clear" w:pos="4536"/>
        <w:tab w:val="left" w:pos="2835"/>
        <w:tab w:val="left" w:pos="51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E1BB7" w14:textId="77777777" w:rsidR="00093EAB" w:rsidRDefault="00093EAB">
      <w:r>
        <w:separator/>
      </w:r>
    </w:p>
    <w:p w14:paraId="29AA158C" w14:textId="77777777" w:rsidR="00093EAB" w:rsidRDefault="00093EAB"/>
  </w:footnote>
  <w:footnote w:type="continuationSeparator" w:id="0">
    <w:p w14:paraId="6B1E11ED" w14:textId="77777777" w:rsidR="00093EAB" w:rsidRDefault="00093EAB">
      <w:r>
        <w:continuationSeparator/>
      </w:r>
    </w:p>
    <w:p w14:paraId="7BA2A6CF" w14:textId="77777777" w:rsidR="00093EAB" w:rsidRDefault="00093E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22ABC" w14:textId="77777777" w:rsidR="003B55D2" w:rsidRPr="00D61963" w:rsidRDefault="003B55D2">
    <w:pPr>
      <w:pStyle w:val="Header"/>
      <w:tabs>
        <w:tab w:val="clear" w:pos="9072"/>
        <w:tab w:val="right" w:pos="9356"/>
      </w:tabs>
      <w:spacing w:after="0" w:line="220" w:lineRule="exact"/>
      <w:rPr>
        <w:sz w:val="18"/>
        <w:szCs w:val="18"/>
      </w:rPr>
    </w:pPr>
    <w:r>
      <w:rPr>
        <w:noProof/>
      </w:rPr>
      <w:drawing>
        <wp:anchor distT="0" distB="0" distL="114300" distR="114300" simplePos="0" relativeHeight="251657728" behindDoc="0" locked="0" layoutInCell="1" allowOverlap="1" wp14:anchorId="308B9941" wp14:editId="064EE23C">
          <wp:simplePos x="0" y="0"/>
          <wp:positionH relativeFrom="column">
            <wp:posOffset>6350</wp:posOffset>
          </wp:positionH>
          <wp:positionV relativeFrom="paragraph">
            <wp:posOffset>7620</wp:posOffset>
          </wp:positionV>
          <wp:extent cx="720725" cy="627380"/>
          <wp:effectExtent l="0" t="0" r="3175" b="1270"/>
          <wp:wrapTopAndBottom/>
          <wp:docPr id="4"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rPr>
        <w:lang w:val="en-GB"/>
      </w:rPr>
      <w:tab/>
    </w:r>
    <w:r>
      <w:rPr>
        <w:lang w:val="en-GB"/>
      </w:rPr>
      <w:tab/>
    </w:r>
    <w:r>
      <w:rPr>
        <w:rStyle w:val="PageNumber"/>
        <w:sz w:val="18"/>
        <w:szCs w:val="18"/>
        <w:lang w:val="en-GB"/>
      </w:rPr>
      <w:fldChar w:fldCharType="begin"/>
    </w:r>
    <w:r>
      <w:rPr>
        <w:rStyle w:val="PageNumber"/>
        <w:sz w:val="18"/>
        <w:szCs w:val="18"/>
        <w:lang w:val="en-GB"/>
      </w:rPr>
      <w:instrText xml:space="preserve"> PAGE </w:instrText>
    </w:r>
    <w:r>
      <w:rPr>
        <w:rStyle w:val="PageNumber"/>
        <w:sz w:val="18"/>
        <w:szCs w:val="18"/>
        <w:lang w:val="en-GB"/>
      </w:rPr>
      <w:fldChar w:fldCharType="separate"/>
    </w:r>
    <w:r w:rsidR="00770FB1">
      <w:rPr>
        <w:rStyle w:val="PageNumber"/>
        <w:noProof/>
        <w:sz w:val="18"/>
        <w:szCs w:val="18"/>
        <w:lang w:val="en-GB"/>
      </w:rPr>
      <w:t>4</w:t>
    </w:r>
    <w:r>
      <w:rPr>
        <w:rStyle w:val="PageNumber"/>
        <w:sz w:val="18"/>
        <w:szCs w:val="18"/>
        <w:lang w:val="en-GB"/>
      </w:rPr>
      <w:fldChar w:fldCharType="end"/>
    </w:r>
    <w:r>
      <w:rPr>
        <w:rStyle w:val="PageNumber"/>
        <w:sz w:val="18"/>
        <w:szCs w:val="18"/>
        <w:lang w:val="en-GB"/>
      </w:rPr>
      <w:t>(</w:t>
    </w:r>
    <w:r>
      <w:rPr>
        <w:rStyle w:val="PageNumber"/>
        <w:sz w:val="18"/>
        <w:szCs w:val="18"/>
        <w:lang w:val="en-GB"/>
      </w:rPr>
      <w:fldChar w:fldCharType="begin"/>
    </w:r>
    <w:r>
      <w:rPr>
        <w:rStyle w:val="PageNumber"/>
        <w:sz w:val="18"/>
        <w:szCs w:val="18"/>
        <w:lang w:val="en-GB"/>
      </w:rPr>
      <w:instrText xml:space="preserve"> NUMPAGES </w:instrText>
    </w:r>
    <w:r>
      <w:rPr>
        <w:rStyle w:val="PageNumber"/>
        <w:sz w:val="18"/>
        <w:szCs w:val="18"/>
        <w:lang w:val="en-GB"/>
      </w:rPr>
      <w:fldChar w:fldCharType="separate"/>
    </w:r>
    <w:r w:rsidR="00770FB1">
      <w:rPr>
        <w:rStyle w:val="PageNumber"/>
        <w:noProof/>
        <w:sz w:val="18"/>
        <w:szCs w:val="18"/>
        <w:lang w:val="en-GB"/>
      </w:rPr>
      <w:t>4</w:t>
    </w:r>
    <w:r>
      <w:rPr>
        <w:rStyle w:val="PageNumber"/>
        <w:sz w:val="18"/>
        <w:szCs w:val="18"/>
        <w:lang w:val="en-GB"/>
      </w:rPr>
      <w:fldChar w:fldCharType="end"/>
    </w:r>
    <w:r>
      <w:rPr>
        <w:rStyle w:val="PageNumber"/>
        <w:sz w:val="18"/>
        <w:szCs w:val="18"/>
        <w:lang w:val="en-G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1917"/>
      <w:gridCol w:w="2540"/>
      <w:gridCol w:w="686"/>
    </w:tblGrid>
    <w:tr w:rsidR="003B55D2" w14:paraId="6C05F1C7" w14:textId="77777777" w:rsidTr="00676CB4">
      <w:trPr>
        <w:trHeight w:val="1787"/>
      </w:trPr>
      <w:tc>
        <w:tcPr>
          <w:tcW w:w="4428" w:type="dxa"/>
        </w:tcPr>
        <w:p w14:paraId="29A28942" w14:textId="77777777" w:rsidR="003B55D2" w:rsidRDefault="003B55D2">
          <w:pPr>
            <w:pStyle w:val="Header"/>
            <w:tabs>
              <w:tab w:val="clear" w:pos="4536"/>
              <w:tab w:val="clear" w:pos="9072"/>
              <w:tab w:val="left" w:pos="4423"/>
              <w:tab w:val="left" w:pos="6577"/>
              <w:tab w:val="right" w:pos="9356"/>
            </w:tabs>
            <w:spacing w:after="0" w:line="240" w:lineRule="auto"/>
            <w:ind w:right="-1021"/>
          </w:pPr>
          <w:r>
            <w:rPr>
              <w:noProof/>
            </w:rPr>
            <w:drawing>
              <wp:inline distT="0" distB="0" distL="0" distR="0" wp14:anchorId="1F534693" wp14:editId="58C74B58">
                <wp:extent cx="1148715" cy="1009650"/>
                <wp:effectExtent l="19050" t="0" r="0" b="0"/>
                <wp:docPr id="1" name="Bild 1" descr="SUBI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GSV"/>
                        <pic:cNvPicPr>
                          <a:picLocks noChangeAspect="1" noChangeArrowheads="1"/>
                        </pic:cNvPicPr>
                      </pic:nvPicPr>
                      <pic:blipFill>
                        <a:blip r:embed="rId1"/>
                        <a:srcRect/>
                        <a:stretch>
                          <a:fillRect/>
                        </a:stretch>
                      </pic:blipFill>
                      <pic:spPr bwMode="auto">
                        <a:xfrm>
                          <a:off x="0" y="0"/>
                          <a:ext cx="1148715" cy="1009650"/>
                        </a:xfrm>
                        <a:prstGeom prst="rect">
                          <a:avLst/>
                        </a:prstGeom>
                        <a:noFill/>
                        <a:ln w="9525">
                          <a:noFill/>
                          <a:miter lim="800000"/>
                          <a:headEnd/>
                          <a:tailEnd/>
                        </a:ln>
                      </pic:spPr>
                    </pic:pic>
                  </a:graphicData>
                </a:graphic>
              </wp:inline>
            </w:drawing>
          </w:r>
          <w:r>
            <w:rPr>
              <w:lang w:val="en-GB"/>
            </w:rPr>
            <w:br/>
          </w:r>
          <w:bookmarkStart w:id="2" w:name="LogoRubrik"/>
          <w:bookmarkEnd w:id="2"/>
        </w:p>
      </w:tc>
      <w:tc>
        <w:tcPr>
          <w:tcW w:w="1917" w:type="dxa"/>
        </w:tcPr>
        <w:p w14:paraId="745F55BB" w14:textId="24783131" w:rsidR="003B55D2" w:rsidRDefault="003B55D2" w:rsidP="00494DDB">
          <w:pPr>
            <w:pStyle w:val="Header"/>
            <w:tabs>
              <w:tab w:val="clear" w:pos="4536"/>
              <w:tab w:val="clear" w:pos="9072"/>
              <w:tab w:val="left" w:pos="4423"/>
              <w:tab w:val="left" w:pos="6577"/>
              <w:tab w:val="right" w:pos="9356"/>
            </w:tabs>
            <w:spacing w:after="0" w:line="240" w:lineRule="auto"/>
            <w:ind w:right="-1021"/>
            <w:rPr>
              <w:szCs w:val="22"/>
            </w:rPr>
          </w:pPr>
        </w:p>
      </w:tc>
      <w:tc>
        <w:tcPr>
          <w:tcW w:w="2540" w:type="dxa"/>
        </w:tcPr>
        <w:p w14:paraId="6818DA3C" w14:textId="77777777" w:rsidR="003B55D2" w:rsidRDefault="003B55D2">
          <w:pPr>
            <w:pStyle w:val="Header"/>
            <w:tabs>
              <w:tab w:val="clear" w:pos="4536"/>
              <w:tab w:val="clear" w:pos="9072"/>
              <w:tab w:val="left" w:pos="4423"/>
              <w:tab w:val="left" w:pos="6577"/>
              <w:tab w:val="right" w:pos="9356"/>
            </w:tabs>
            <w:spacing w:after="0" w:line="240" w:lineRule="auto"/>
            <w:ind w:right="-1021"/>
            <w:rPr>
              <w:szCs w:val="22"/>
            </w:rPr>
          </w:pPr>
        </w:p>
      </w:tc>
      <w:tc>
        <w:tcPr>
          <w:tcW w:w="686" w:type="dxa"/>
        </w:tcPr>
        <w:p w14:paraId="1C791421" w14:textId="77777777" w:rsidR="003B55D2" w:rsidRPr="00A11BCF" w:rsidRDefault="003B55D2">
          <w:pPr>
            <w:jc w:val="right"/>
          </w:pPr>
          <w:r>
            <w:rPr>
              <w:rStyle w:val="PageNumber"/>
              <w:sz w:val="18"/>
              <w:szCs w:val="18"/>
              <w:lang w:val="en-GB"/>
            </w:rPr>
            <w:fldChar w:fldCharType="begin"/>
          </w:r>
          <w:r>
            <w:rPr>
              <w:rStyle w:val="PageNumber"/>
              <w:sz w:val="18"/>
              <w:szCs w:val="18"/>
              <w:lang w:val="en-GB"/>
            </w:rPr>
            <w:instrText xml:space="preserve"> PAGE </w:instrText>
          </w:r>
          <w:r>
            <w:rPr>
              <w:rStyle w:val="PageNumber"/>
              <w:sz w:val="18"/>
              <w:szCs w:val="18"/>
              <w:lang w:val="en-GB"/>
            </w:rPr>
            <w:fldChar w:fldCharType="separate"/>
          </w:r>
          <w:r w:rsidR="00CA6093">
            <w:rPr>
              <w:rStyle w:val="PageNumber"/>
              <w:noProof/>
              <w:sz w:val="18"/>
              <w:szCs w:val="18"/>
              <w:lang w:val="en-GB"/>
            </w:rPr>
            <w:t>1</w:t>
          </w:r>
          <w:r>
            <w:rPr>
              <w:rStyle w:val="PageNumber"/>
              <w:sz w:val="18"/>
              <w:szCs w:val="18"/>
              <w:lang w:val="en-GB"/>
            </w:rPr>
            <w:fldChar w:fldCharType="end"/>
          </w:r>
          <w:r>
            <w:rPr>
              <w:rStyle w:val="PageNumber"/>
              <w:sz w:val="18"/>
              <w:szCs w:val="18"/>
              <w:lang w:val="en-GB"/>
            </w:rPr>
            <w:t xml:space="preserve"> (</w:t>
          </w:r>
          <w:r>
            <w:rPr>
              <w:rStyle w:val="PageNumber"/>
              <w:sz w:val="18"/>
              <w:szCs w:val="18"/>
              <w:lang w:val="en-GB"/>
            </w:rPr>
            <w:fldChar w:fldCharType="begin"/>
          </w:r>
          <w:r>
            <w:rPr>
              <w:rStyle w:val="PageNumber"/>
              <w:sz w:val="18"/>
              <w:szCs w:val="18"/>
              <w:lang w:val="en-GB"/>
            </w:rPr>
            <w:instrText xml:space="preserve"> NUMPAGES </w:instrText>
          </w:r>
          <w:r>
            <w:rPr>
              <w:rStyle w:val="PageNumber"/>
              <w:sz w:val="18"/>
              <w:szCs w:val="18"/>
              <w:lang w:val="en-GB"/>
            </w:rPr>
            <w:fldChar w:fldCharType="separate"/>
          </w:r>
          <w:r w:rsidR="00CA6093">
            <w:rPr>
              <w:rStyle w:val="PageNumber"/>
              <w:noProof/>
              <w:sz w:val="18"/>
              <w:szCs w:val="18"/>
              <w:lang w:val="en-GB"/>
            </w:rPr>
            <w:t>5</w:t>
          </w:r>
          <w:r>
            <w:rPr>
              <w:rStyle w:val="PageNumber"/>
              <w:sz w:val="18"/>
              <w:szCs w:val="18"/>
              <w:lang w:val="en-GB"/>
            </w:rPr>
            <w:fldChar w:fldCharType="end"/>
          </w:r>
          <w:r>
            <w:rPr>
              <w:rStyle w:val="PageNumber"/>
              <w:sz w:val="18"/>
              <w:szCs w:val="18"/>
              <w:lang w:val="en-GB"/>
            </w:rPr>
            <w:t>)</w:t>
          </w:r>
        </w:p>
      </w:tc>
    </w:tr>
  </w:tbl>
  <w:p w14:paraId="5726A03F" w14:textId="77777777" w:rsidR="003B55D2" w:rsidRPr="00837FEC" w:rsidRDefault="003B55D2">
    <w:pPr>
      <w:pStyle w:val="Header"/>
      <w:tabs>
        <w:tab w:val="clear" w:pos="4536"/>
        <w:tab w:val="clear" w:pos="9072"/>
        <w:tab w:val="left" w:pos="4423"/>
        <w:tab w:val="left" w:pos="6577"/>
        <w:tab w:val="right" w:pos="9356"/>
      </w:tabs>
      <w:spacing w:after="0" w:line="240" w:lineRule="auto"/>
      <w:ind w:right="-10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A8F6E"/>
    <w:lvl w:ilvl="0">
      <w:start w:val="1"/>
      <w:numFmt w:val="decimal"/>
      <w:lvlText w:val="%1."/>
      <w:lvlJc w:val="left"/>
      <w:pPr>
        <w:tabs>
          <w:tab w:val="num" w:pos="1492"/>
        </w:tabs>
        <w:ind w:left="1492" w:hanging="360"/>
      </w:pPr>
    </w:lvl>
  </w:abstractNum>
  <w:abstractNum w:abstractNumId="1">
    <w:nsid w:val="FFFFFF7D"/>
    <w:multiLevelType w:val="singleLevel"/>
    <w:tmpl w:val="D306080A"/>
    <w:lvl w:ilvl="0">
      <w:start w:val="1"/>
      <w:numFmt w:val="decimal"/>
      <w:lvlText w:val="%1."/>
      <w:lvlJc w:val="left"/>
      <w:pPr>
        <w:tabs>
          <w:tab w:val="num" w:pos="1209"/>
        </w:tabs>
        <w:ind w:left="1209" w:hanging="360"/>
      </w:pPr>
    </w:lvl>
  </w:abstractNum>
  <w:abstractNum w:abstractNumId="2">
    <w:nsid w:val="FFFFFF7E"/>
    <w:multiLevelType w:val="singleLevel"/>
    <w:tmpl w:val="53D0D528"/>
    <w:lvl w:ilvl="0">
      <w:start w:val="1"/>
      <w:numFmt w:val="decimal"/>
      <w:lvlText w:val="%1."/>
      <w:lvlJc w:val="left"/>
      <w:pPr>
        <w:tabs>
          <w:tab w:val="num" w:pos="926"/>
        </w:tabs>
        <w:ind w:left="926" w:hanging="360"/>
      </w:pPr>
    </w:lvl>
  </w:abstractNum>
  <w:abstractNum w:abstractNumId="3">
    <w:nsid w:val="FFFFFF7F"/>
    <w:multiLevelType w:val="singleLevel"/>
    <w:tmpl w:val="885A7782"/>
    <w:lvl w:ilvl="0">
      <w:start w:val="1"/>
      <w:numFmt w:val="decimal"/>
      <w:lvlText w:val="%1."/>
      <w:lvlJc w:val="left"/>
      <w:pPr>
        <w:tabs>
          <w:tab w:val="num" w:pos="643"/>
        </w:tabs>
        <w:ind w:left="643" w:hanging="360"/>
      </w:pPr>
    </w:lvl>
  </w:abstractNum>
  <w:abstractNum w:abstractNumId="4">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23AE4"/>
    <w:lvl w:ilvl="0">
      <w:start w:val="1"/>
      <w:numFmt w:val="decimal"/>
      <w:lvlText w:val="%1."/>
      <w:lvlJc w:val="left"/>
      <w:pPr>
        <w:tabs>
          <w:tab w:val="num" w:pos="360"/>
        </w:tabs>
        <w:ind w:left="360" w:hanging="360"/>
      </w:pPr>
    </w:lvl>
  </w:abstractNum>
  <w:abstractNum w:abstractNumId="9">
    <w:nsid w:val="FFFFFF89"/>
    <w:multiLevelType w:val="singleLevel"/>
    <w:tmpl w:val="5C1282E0"/>
    <w:lvl w:ilvl="0">
      <w:start w:val="1"/>
      <w:numFmt w:val="bullet"/>
      <w:lvlText w:val=""/>
      <w:lvlJc w:val="left"/>
      <w:pPr>
        <w:tabs>
          <w:tab w:val="num" w:pos="360"/>
        </w:tabs>
        <w:ind w:left="360" w:hanging="360"/>
      </w:pPr>
      <w:rPr>
        <w:rFonts w:ascii="Symbol" w:hAnsi="Symbol" w:hint="default"/>
      </w:rPr>
    </w:lvl>
  </w:abstractNum>
  <w:abstractNum w:abstractNumId="10">
    <w:nsid w:val="0AFF7D43"/>
    <w:multiLevelType w:val="hybridMultilevel"/>
    <w:tmpl w:val="AD226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2AE7C4C"/>
    <w:multiLevelType w:val="hybridMultilevel"/>
    <w:tmpl w:val="19ECE342"/>
    <w:lvl w:ilvl="0" w:tplc="A9BAE3A0">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6C457E9"/>
    <w:multiLevelType w:val="multilevel"/>
    <w:tmpl w:val="6386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670C49"/>
    <w:multiLevelType w:val="hybridMultilevel"/>
    <w:tmpl w:val="0928B0C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B861A66"/>
    <w:multiLevelType w:val="multilevel"/>
    <w:tmpl w:val="F20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AF437C"/>
    <w:multiLevelType w:val="hybridMultilevel"/>
    <w:tmpl w:val="6CB6F79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5"/>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62"/>
    <w:rsid w:val="00011FBA"/>
    <w:rsid w:val="000177B7"/>
    <w:rsid w:val="00032603"/>
    <w:rsid w:val="00040F9E"/>
    <w:rsid w:val="000775E6"/>
    <w:rsid w:val="00093EAB"/>
    <w:rsid w:val="0009619F"/>
    <w:rsid w:val="00096855"/>
    <w:rsid w:val="000E051B"/>
    <w:rsid w:val="001141E1"/>
    <w:rsid w:val="001167B9"/>
    <w:rsid w:val="001663E2"/>
    <w:rsid w:val="001664FA"/>
    <w:rsid w:val="001708AA"/>
    <w:rsid w:val="001E7413"/>
    <w:rsid w:val="001E7F2E"/>
    <w:rsid w:val="00204E49"/>
    <w:rsid w:val="00206D0F"/>
    <w:rsid w:val="0021662F"/>
    <w:rsid w:val="0022293F"/>
    <w:rsid w:val="00295060"/>
    <w:rsid w:val="002B50DD"/>
    <w:rsid w:val="002C5361"/>
    <w:rsid w:val="00326639"/>
    <w:rsid w:val="003921E1"/>
    <w:rsid w:val="003A5490"/>
    <w:rsid w:val="003B55D2"/>
    <w:rsid w:val="00411F31"/>
    <w:rsid w:val="00457453"/>
    <w:rsid w:val="00466516"/>
    <w:rsid w:val="0048409B"/>
    <w:rsid w:val="00491031"/>
    <w:rsid w:val="00494DDB"/>
    <w:rsid w:val="004D71EF"/>
    <w:rsid w:val="004D79ED"/>
    <w:rsid w:val="004F7D78"/>
    <w:rsid w:val="00507990"/>
    <w:rsid w:val="00510D37"/>
    <w:rsid w:val="005135A1"/>
    <w:rsid w:val="00516739"/>
    <w:rsid w:val="005552DB"/>
    <w:rsid w:val="005855DA"/>
    <w:rsid w:val="005D09B0"/>
    <w:rsid w:val="00613DA9"/>
    <w:rsid w:val="006149B4"/>
    <w:rsid w:val="00676CB4"/>
    <w:rsid w:val="006C1E68"/>
    <w:rsid w:val="006E1A6D"/>
    <w:rsid w:val="006F0CC7"/>
    <w:rsid w:val="006F2407"/>
    <w:rsid w:val="007024A5"/>
    <w:rsid w:val="00721057"/>
    <w:rsid w:val="00737717"/>
    <w:rsid w:val="00740A18"/>
    <w:rsid w:val="0075536F"/>
    <w:rsid w:val="00770FB1"/>
    <w:rsid w:val="007722F5"/>
    <w:rsid w:val="007C5448"/>
    <w:rsid w:val="007D52DD"/>
    <w:rsid w:val="0085338A"/>
    <w:rsid w:val="008B7D2A"/>
    <w:rsid w:val="008C3D4B"/>
    <w:rsid w:val="00903D0F"/>
    <w:rsid w:val="0091487D"/>
    <w:rsid w:val="0092235E"/>
    <w:rsid w:val="009C75BA"/>
    <w:rsid w:val="009D2CCE"/>
    <w:rsid w:val="00A14CF5"/>
    <w:rsid w:val="00A321F9"/>
    <w:rsid w:val="00A373F3"/>
    <w:rsid w:val="00A45A8B"/>
    <w:rsid w:val="00A64183"/>
    <w:rsid w:val="00A838AE"/>
    <w:rsid w:val="00B069D6"/>
    <w:rsid w:val="00B10CCD"/>
    <w:rsid w:val="00B14CD7"/>
    <w:rsid w:val="00B220C9"/>
    <w:rsid w:val="00B61145"/>
    <w:rsid w:val="00B62B1E"/>
    <w:rsid w:val="00B8681A"/>
    <w:rsid w:val="00B90D6B"/>
    <w:rsid w:val="00BD34BB"/>
    <w:rsid w:val="00BD3A27"/>
    <w:rsid w:val="00BF1C1D"/>
    <w:rsid w:val="00C02AE8"/>
    <w:rsid w:val="00C55B28"/>
    <w:rsid w:val="00CA0FBE"/>
    <w:rsid w:val="00CA6093"/>
    <w:rsid w:val="00D27A7E"/>
    <w:rsid w:val="00D3100E"/>
    <w:rsid w:val="00D8127C"/>
    <w:rsid w:val="00DB3755"/>
    <w:rsid w:val="00DB6057"/>
    <w:rsid w:val="00E076DC"/>
    <w:rsid w:val="00EB2962"/>
    <w:rsid w:val="00EC2F9E"/>
    <w:rsid w:val="00F02611"/>
    <w:rsid w:val="00F067F2"/>
    <w:rsid w:val="00F55006"/>
    <w:rsid w:val="00F7033A"/>
    <w:rsid w:val="00FA239E"/>
    <w:rsid w:val="00FC1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CE"/>
    <w:pPr>
      <w:spacing w:after="260" w:line="260" w:lineRule="exact"/>
    </w:pPr>
    <w:rPr>
      <w:sz w:val="22"/>
      <w:szCs w:val="24"/>
    </w:rPr>
  </w:style>
  <w:style w:type="paragraph" w:styleId="Heading1">
    <w:name w:val="heading 1"/>
    <w:basedOn w:val="Normal"/>
    <w:next w:val="Normal"/>
    <w:qFormat/>
    <w:rsid w:val="009D2CCE"/>
    <w:pPr>
      <w:keepNext/>
      <w:spacing w:line="340" w:lineRule="exact"/>
      <w:outlineLvl w:val="0"/>
    </w:pPr>
    <w:rPr>
      <w:rFonts w:cs="Arial"/>
      <w:b/>
      <w:bCs/>
      <w:kern w:val="32"/>
      <w:sz w:val="28"/>
      <w:szCs w:val="32"/>
    </w:rPr>
  </w:style>
  <w:style w:type="paragraph" w:styleId="Heading2">
    <w:name w:val="heading 2"/>
    <w:basedOn w:val="Normal"/>
    <w:next w:val="Normal"/>
    <w:qFormat/>
    <w:rsid w:val="009D2CCE"/>
    <w:pPr>
      <w:keepNext/>
      <w:spacing w:after="140"/>
      <w:outlineLvl w:val="1"/>
    </w:pPr>
    <w:rPr>
      <w:rFonts w:ascii="Arial" w:hAnsi="Arial" w:cs="Arial"/>
      <w:b/>
      <w:bCs/>
      <w:iCs/>
      <w:szCs w:val="28"/>
    </w:rPr>
  </w:style>
  <w:style w:type="paragraph" w:styleId="Heading3">
    <w:name w:val="heading 3"/>
    <w:basedOn w:val="Normal"/>
    <w:next w:val="Normal"/>
    <w:qFormat/>
    <w:rsid w:val="009D2CCE"/>
    <w:pPr>
      <w:keepNext/>
      <w:spacing w:after="14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CCE"/>
    <w:pPr>
      <w:tabs>
        <w:tab w:val="center" w:pos="4536"/>
        <w:tab w:val="right" w:pos="9072"/>
      </w:tabs>
    </w:pPr>
  </w:style>
  <w:style w:type="paragraph" w:styleId="Footer">
    <w:name w:val="footer"/>
    <w:basedOn w:val="Normal"/>
    <w:rsid w:val="009D2CCE"/>
    <w:pPr>
      <w:tabs>
        <w:tab w:val="center" w:pos="4536"/>
        <w:tab w:val="right" w:pos="9072"/>
      </w:tabs>
      <w:spacing w:after="0" w:line="200" w:lineRule="exact"/>
    </w:pPr>
    <w:rPr>
      <w:sz w:val="16"/>
    </w:rPr>
  </w:style>
  <w:style w:type="character" w:styleId="PageNumber">
    <w:name w:val="page number"/>
    <w:basedOn w:val="DefaultParagraphFont"/>
    <w:rsid w:val="009D2CCE"/>
  </w:style>
  <w:style w:type="table" w:styleId="TableGrid">
    <w:name w:val="Table Grid"/>
    <w:basedOn w:val="TableNormal"/>
    <w:semiHidden/>
    <w:rsid w:val="009D2CCE"/>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rsid w:val="009D2CCE"/>
  </w:style>
  <w:style w:type="paragraph" w:styleId="Title">
    <w:name w:val="Title"/>
    <w:basedOn w:val="Normal"/>
    <w:qFormat/>
    <w:rsid w:val="009D2CCE"/>
    <w:pPr>
      <w:outlineLvl w:val="0"/>
    </w:pPr>
    <w:rPr>
      <w:rFonts w:cs="Arial"/>
      <w:b/>
      <w:bCs/>
      <w:szCs w:val="32"/>
    </w:rPr>
  </w:style>
  <w:style w:type="paragraph" w:styleId="BalloonText">
    <w:name w:val="Balloon Text"/>
    <w:basedOn w:val="Normal"/>
    <w:link w:val="BalloonTextChar"/>
    <w:rsid w:val="0011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41E1"/>
    <w:rPr>
      <w:rFonts w:ascii="Tahoma" w:hAnsi="Tahoma" w:cs="Tahoma"/>
      <w:sz w:val="16"/>
      <w:szCs w:val="16"/>
    </w:rPr>
  </w:style>
  <w:style w:type="paragraph" w:styleId="FootnoteText">
    <w:name w:val="footnote text"/>
    <w:basedOn w:val="Normal"/>
    <w:link w:val="FootnoteTextChar"/>
    <w:rsid w:val="00613DA9"/>
    <w:pPr>
      <w:spacing w:after="0" w:line="240" w:lineRule="auto"/>
    </w:pPr>
    <w:rPr>
      <w:sz w:val="20"/>
      <w:szCs w:val="20"/>
    </w:rPr>
  </w:style>
  <w:style w:type="character" w:customStyle="1" w:styleId="FootnoteTextChar">
    <w:name w:val="Footnote Text Char"/>
    <w:basedOn w:val="DefaultParagraphFont"/>
    <w:link w:val="FootnoteText"/>
    <w:rsid w:val="00613DA9"/>
  </w:style>
  <w:style w:type="character" w:styleId="FootnoteReference">
    <w:name w:val="footnote reference"/>
    <w:basedOn w:val="DefaultParagraphFont"/>
    <w:rsid w:val="00613DA9"/>
    <w:rPr>
      <w:vertAlign w:val="superscript"/>
    </w:rPr>
  </w:style>
  <w:style w:type="paragraph" w:styleId="ListParagraph">
    <w:name w:val="List Paragraph"/>
    <w:basedOn w:val="Normal"/>
    <w:uiPriority w:val="34"/>
    <w:qFormat/>
    <w:rsid w:val="00613DA9"/>
    <w:pPr>
      <w:ind w:left="720"/>
      <w:contextualSpacing/>
    </w:pPr>
  </w:style>
  <w:style w:type="character" w:styleId="CommentReference">
    <w:name w:val="annotation reference"/>
    <w:basedOn w:val="DefaultParagraphFont"/>
    <w:rsid w:val="00457453"/>
    <w:rPr>
      <w:sz w:val="16"/>
      <w:szCs w:val="16"/>
    </w:rPr>
  </w:style>
  <w:style w:type="paragraph" w:styleId="CommentText">
    <w:name w:val="annotation text"/>
    <w:basedOn w:val="Normal"/>
    <w:link w:val="CommentTextChar"/>
    <w:rsid w:val="00457453"/>
    <w:pPr>
      <w:spacing w:line="240" w:lineRule="auto"/>
    </w:pPr>
    <w:rPr>
      <w:sz w:val="20"/>
      <w:szCs w:val="20"/>
    </w:rPr>
  </w:style>
  <w:style w:type="character" w:customStyle="1" w:styleId="CommentTextChar">
    <w:name w:val="Comment Text Char"/>
    <w:basedOn w:val="DefaultParagraphFont"/>
    <w:link w:val="CommentText"/>
    <w:rsid w:val="00457453"/>
  </w:style>
  <w:style w:type="paragraph" w:styleId="CommentSubject">
    <w:name w:val="annotation subject"/>
    <w:basedOn w:val="CommentText"/>
    <w:next w:val="CommentText"/>
    <w:link w:val="CommentSubjectChar"/>
    <w:rsid w:val="00457453"/>
    <w:rPr>
      <w:b/>
      <w:bCs/>
    </w:rPr>
  </w:style>
  <w:style w:type="character" w:customStyle="1" w:styleId="CommentSubjectChar">
    <w:name w:val="Comment Subject Char"/>
    <w:basedOn w:val="CommentTextChar"/>
    <w:link w:val="CommentSubject"/>
    <w:rsid w:val="00457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CE"/>
    <w:pPr>
      <w:spacing w:after="260" w:line="260" w:lineRule="exact"/>
    </w:pPr>
    <w:rPr>
      <w:sz w:val="22"/>
      <w:szCs w:val="24"/>
    </w:rPr>
  </w:style>
  <w:style w:type="paragraph" w:styleId="Heading1">
    <w:name w:val="heading 1"/>
    <w:basedOn w:val="Normal"/>
    <w:next w:val="Normal"/>
    <w:qFormat/>
    <w:rsid w:val="009D2CCE"/>
    <w:pPr>
      <w:keepNext/>
      <w:spacing w:line="340" w:lineRule="exact"/>
      <w:outlineLvl w:val="0"/>
    </w:pPr>
    <w:rPr>
      <w:rFonts w:cs="Arial"/>
      <w:b/>
      <w:bCs/>
      <w:kern w:val="32"/>
      <w:sz w:val="28"/>
      <w:szCs w:val="32"/>
    </w:rPr>
  </w:style>
  <w:style w:type="paragraph" w:styleId="Heading2">
    <w:name w:val="heading 2"/>
    <w:basedOn w:val="Normal"/>
    <w:next w:val="Normal"/>
    <w:qFormat/>
    <w:rsid w:val="009D2CCE"/>
    <w:pPr>
      <w:keepNext/>
      <w:spacing w:after="140"/>
      <w:outlineLvl w:val="1"/>
    </w:pPr>
    <w:rPr>
      <w:rFonts w:ascii="Arial" w:hAnsi="Arial" w:cs="Arial"/>
      <w:b/>
      <w:bCs/>
      <w:iCs/>
      <w:szCs w:val="28"/>
    </w:rPr>
  </w:style>
  <w:style w:type="paragraph" w:styleId="Heading3">
    <w:name w:val="heading 3"/>
    <w:basedOn w:val="Normal"/>
    <w:next w:val="Normal"/>
    <w:qFormat/>
    <w:rsid w:val="009D2CCE"/>
    <w:pPr>
      <w:keepNext/>
      <w:spacing w:after="14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CCE"/>
    <w:pPr>
      <w:tabs>
        <w:tab w:val="center" w:pos="4536"/>
        <w:tab w:val="right" w:pos="9072"/>
      </w:tabs>
    </w:pPr>
  </w:style>
  <w:style w:type="paragraph" w:styleId="Footer">
    <w:name w:val="footer"/>
    <w:basedOn w:val="Normal"/>
    <w:rsid w:val="009D2CCE"/>
    <w:pPr>
      <w:tabs>
        <w:tab w:val="center" w:pos="4536"/>
        <w:tab w:val="right" w:pos="9072"/>
      </w:tabs>
      <w:spacing w:after="0" w:line="200" w:lineRule="exact"/>
    </w:pPr>
    <w:rPr>
      <w:sz w:val="16"/>
    </w:rPr>
  </w:style>
  <w:style w:type="character" w:styleId="PageNumber">
    <w:name w:val="page number"/>
    <w:basedOn w:val="DefaultParagraphFont"/>
    <w:rsid w:val="009D2CCE"/>
  </w:style>
  <w:style w:type="table" w:styleId="TableGrid">
    <w:name w:val="Table Grid"/>
    <w:basedOn w:val="TableNormal"/>
    <w:semiHidden/>
    <w:rsid w:val="009D2CCE"/>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rsid w:val="009D2CCE"/>
  </w:style>
  <w:style w:type="paragraph" w:styleId="Title">
    <w:name w:val="Title"/>
    <w:basedOn w:val="Normal"/>
    <w:qFormat/>
    <w:rsid w:val="009D2CCE"/>
    <w:pPr>
      <w:outlineLvl w:val="0"/>
    </w:pPr>
    <w:rPr>
      <w:rFonts w:cs="Arial"/>
      <w:b/>
      <w:bCs/>
      <w:szCs w:val="32"/>
    </w:rPr>
  </w:style>
  <w:style w:type="paragraph" w:styleId="BalloonText">
    <w:name w:val="Balloon Text"/>
    <w:basedOn w:val="Normal"/>
    <w:link w:val="BalloonTextChar"/>
    <w:rsid w:val="0011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41E1"/>
    <w:rPr>
      <w:rFonts w:ascii="Tahoma" w:hAnsi="Tahoma" w:cs="Tahoma"/>
      <w:sz w:val="16"/>
      <w:szCs w:val="16"/>
    </w:rPr>
  </w:style>
  <w:style w:type="paragraph" w:styleId="FootnoteText">
    <w:name w:val="footnote text"/>
    <w:basedOn w:val="Normal"/>
    <w:link w:val="FootnoteTextChar"/>
    <w:rsid w:val="00613DA9"/>
    <w:pPr>
      <w:spacing w:after="0" w:line="240" w:lineRule="auto"/>
    </w:pPr>
    <w:rPr>
      <w:sz w:val="20"/>
      <w:szCs w:val="20"/>
    </w:rPr>
  </w:style>
  <w:style w:type="character" w:customStyle="1" w:styleId="FootnoteTextChar">
    <w:name w:val="Footnote Text Char"/>
    <w:basedOn w:val="DefaultParagraphFont"/>
    <w:link w:val="FootnoteText"/>
    <w:rsid w:val="00613DA9"/>
  </w:style>
  <w:style w:type="character" w:styleId="FootnoteReference">
    <w:name w:val="footnote reference"/>
    <w:basedOn w:val="DefaultParagraphFont"/>
    <w:rsid w:val="00613DA9"/>
    <w:rPr>
      <w:vertAlign w:val="superscript"/>
    </w:rPr>
  </w:style>
  <w:style w:type="paragraph" w:styleId="ListParagraph">
    <w:name w:val="List Paragraph"/>
    <w:basedOn w:val="Normal"/>
    <w:uiPriority w:val="34"/>
    <w:qFormat/>
    <w:rsid w:val="00613DA9"/>
    <w:pPr>
      <w:ind w:left="720"/>
      <w:contextualSpacing/>
    </w:pPr>
  </w:style>
  <w:style w:type="character" w:styleId="CommentReference">
    <w:name w:val="annotation reference"/>
    <w:basedOn w:val="DefaultParagraphFont"/>
    <w:rsid w:val="00457453"/>
    <w:rPr>
      <w:sz w:val="16"/>
      <w:szCs w:val="16"/>
    </w:rPr>
  </w:style>
  <w:style w:type="paragraph" w:styleId="CommentText">
    <w:name w:val="annotation text"/>
    <w:basedOn w:val="Normal"/>
    <w:link w:val="CommentTextChar"/>
    <w:rsid w:val="00457453"/>
    <w:pPr>
      <w:spacing w:line="240" w:lineRule="auto"/>
    </w:pPr>
    <w:rPr>
      <w:sz w:val="20"/>
      <w:szCs w:val="20"/>
    </w:rPr>
  </w:style>
  <w:style w:type="character" w:customStyle="1" w:styleId="CommentTextChar">
    <w:name w:val="Comment Text Char"/>
    <w:basedOn w:val="DefaultParagraphFont"/>
    <w:link w:val="CommentText"/>
    <w:rsid w:val="00457453"/>
  </w:style>
  <w:style w:type="paragraph" w:styleId="CommentSubject">
    <w:name w:val="annotation subject"/>
    <w:basedOn w:val="CommentText"/>
    <w:next w:val="CommentText"/>
    <w:link w:val="CommentSubjectChar"/>
    <w:rsid w:val="00457453"/>
    <w:rPr>
      <w:b/>
      <w:bCs/>
    </w:rPr>
  </w:style>
  <w:style w:type="character" w:customStyle="1" w:styleId="CommentSubjectChar">
    <w:name w:val="Comment Subject Char"/>
    <w:basedOn w:val="CommentTextChar"/>
    <w:link w:val="CommentSubject"/>
    <w:rsid w:val="00457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Rutiner_lathundar_mallar\Mallar\&#214;vrigt\Rektors-beslutsmall_080908_y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402C-0A1C-4E24-BEEF-E1C7DF6B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Rektors-beslutsmall_080908_yk</Template>
  <TotalTime>2</TotalTime>
  <Pages>4</Pages>
  <Words>1964</Words>
  <Characters>10411</Characters>
  <Application>Microsoft Office Word</Application>
  <DocSecurity>0</DocSecurity>
  <Lines>86</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Advokatfirman Vinge KB</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bjare</dc:creator>
  <cp:lastModifiedBy>Anna-Karin Tidén</cp:lastModifiedBy>
  <cp:revision>6</cp:revision>
  <cp:lastPrinted>2010-11-08T08:22:00Z</cp:lastPrinted>
  <dcterms:created xsi:type="dcterms:W3CDTF">2016-04-23T09:16:00Z</dcterms:created>
  <dcterms:modified xsi:type="dcterms:W3CDTF">2016-04-23T09:26:00Z</dcterms:modified>
</cp:coreProperties>
</file>